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A0" w:rsidRDefault="00E45905" w:rsidP="00E45905">
      <w:pPr>
        <w:pStyle w:val="Title"/>
      </w:pPr>
      <w:bookmarkStart w:id="0" w:name="_GoBack"/>
      <w:bookmarkEnd w:id="0"/>
      <w:r>
        <w:t xml:space="preserve">Modelling the Exeter memory clinic assessment pathway and the impact of the DECODE triage </w:t>
      </w:r>
      <w:r w:rsidR="00BC5034">
        <w:t>system</w:t>
      </w:r>
    </w:p>
    <w:p w:rsidR="00E45905" w:rsidRDefault="00E45905" w:rsidP="00E45905">
      <w:pPr>
        <w:pStyle w:val="Heading1"/>
      </w:pPr>
      <w:r>
        <w:t>Background</w:t>
      </w:r>
    </w:p>
    <w:p w:rsidR="00E45905" w:rsidRDefault="00E45905">
      <w:r>
        <w:t xml:space="preserve">The DECODE app has been developed by Dr David Llewellyn at The University of Exeter. The triage </w:t>
      </w:r>
      <w:r w:rsidR="00F874BE">
        <w:t>system</w:t>
      </w:r>
      <w:r>
        <w:t xml:space="preserve"> screens patients for dementia and provides a probability of their having dementia. Those patients who are most unlikely to have dementia can be referred back to the GP without the need to undergo an assessment. PenCHORD were approached to model the impact of implementing the triage app in the Exeter memory clinic and how it would affect waiting times for assessments.</w:t>
      </w:r>
    </w:p>
    <w:p w:rsidR="00E45905" w:rsidRDefault="00E45905" w:rsidP="00E45905">
      <w:pPr>
        <w:pStyle w:val="Heading1"/>
      </w:pPr>
      <w:r>
        <w:t>The model</w:t>
      </w:r>
    </w:p>
    <w:p w:rsidR="00E45905" w:rsidRDefault="00E45905">
      <w:r>
        <w:t>The first stage of the modelling process was to create a process map of the Exeter memory clinic assessment pathway. From the process map a conceptual model was created and data could be requested to populate the actual model. The data used to parameterise the model was individual patient episode data from December 2014 to November 2016 inclusive. The model structure is a simplified version of the assessment pathway; referrals for assessment arrive at the rate ascribed by the data, patients then wait for an assessment and then based on the prevalence of dementia seen at the clinic patients have one of five outcomes and exit the system.</w:t>
      </w:r>
    </w:p>
    <w:p w:rsidR="00E45905" w:rsidRDefault="00E45905">
      <w:r>
        <w:t xml:space="preserve">This model is a simplification of the Exeter memory clinic assessment system and as such assumes </w:t>
      </w:r>
      <w:r w:rsidR="0014063E">
        <w:t>9</w:t>
      </w:r>
      <w:r>
        <w:t xml:space="preserve"> assessment slots per week every week.</w:t>
      </w:r>
      <w:r w:rsidR="0014063E">
        <w:t xml:space="preserve"> The actual number of possible referral slots is 16 however, the patient referral rate for the Exeter memory clinic did not produce as queue as empirically observed. </w:t>
      </w:r>
      <w:r w:rsidR="00AE24B7">
        <w:t xml:space="preserve">Analysis of the data showed that on average 12.4 slots (SD 3.5) were provided over 2015 and 2016. </w:t>
      </w:r>
      <w:r w:rsidR="0014063E">
        <w:t>Through discussions with the collaborators it became apparent that due to holiday, sickness and other pressures Exeter memory clinic often is not able to provide 16 assessments slots per week. Nine assessment slots per week enabled a queue to form at a rate approximate to that observed in the memory clinic data</w:t>
      </w:r>
      <w:r>
        <w:t xml:space="preserve">. The simulation runs had a warm-up period of </w:t>
      </w:r>
      <w:r w:rsidR="0014063E">
        <w:t>1000</w:t>
      </w:r>
      <w:r>
        <w:t xml:space="preserve"> days to ensure that 150 people were in the queue for assessment and it then ran for 2 years to enable the trends in the data to be captured.</w:t>
      </w:r>
    </w:p>
    <w:p w:rsidR="00E45905" w:rsidRDefault="00E45905" w:rsidP="00E45905">
      <w:pPr>
        <w:pStyle w:val="Heading1"/>
      </w:pPr>
      <w:r>
        <w:t>Results</w:t>
      </w:r>
    </w:p>
    <w:p w:rsidR="0014063E" w:rsidRDefault="00E45905">
      <w:r>
        <w:t xml:space="preserve">The simulation scenarios were run with the DECODE triage process set with a dementia prevalence of </w:t>
      </w:r>
      <w:r w:rsidR="0014063E">
        <w:t>40</w:t>
      </w:r>
      <w:r>
        <w:t>%.</w:t>
      </w:r>
      <w:r w:rsidR="0014063E">
        <w:t xml:space="preserve"> Nine scenarios were run in the model for cut-off point probabilities of 0.1 to 0.5 in steps of 0.05. The scenario numbers, cut-off points and test sensitivity and specificity values are given in table 1 below. Each scenario was run 188 times in a trial to ensure 95% confidence in the ability of the model to account for the variance across the parameters of: Average queue size, average queuing time, resource utilisation and the time taken for the queue to reach a zero queue size.</w:t>
      </w:r>
    </w:p>
    <w:p w:rsidR="0014063E" w:rsidRDefault="0014063E"/>
    <w:p w:rsidR="0014063E" w:rsidRDefault="0014063E"/>
    <w:p w:rsidR="0014063E" w:rsidRDefault="0014063E"/>
    <w:p w:rsidR="0014063E" w:rsidRDefault="0014063E" w:rsidP="0014063E">
      <w:pPr>
        <w:jc w:val="center"/>
      </w:pPr>
      <w:r>
        <w:t>Table 1 Cut-off point scenarios tested in the model</w:t>
      </w:r>
    </w:p>
    <w:tbl>
      <w:tblPr>
        <w:tblW w:w="6200" w:type="dxa"/>
        <w:jc w:val="center"/>
        <w:tblLook w:val="04A0" w:firstRow="1" w:lastRow="0" w:firstColumn="1" w:lastColumn="0" w:noHBand="0" w:noVBand="1"/>
      </w:tblPr>
      <w:tblGrid>
        <w:gridCol w:w="984"/>
        <w:gridCol w:w="960"/>
        <w:gridCol w:w="1272"/>
        <w:gridCol w:w="888"/>
        <w:gridCol w:w="1199"/>
        <w:gridCol w:w="921"/>
      </w:tblGrid>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216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Sensitivity</w:t>
            </w:r>
          </w:p>
        </w:tc>
        <w:tc>
          <w:tcPr>
            <w:tcW w:w="212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Specificity</w:t>
            </w:r>
          </w:p>
        </w:tc>
      </w:tr>
      <w:tr w:rsidR="0014063E" w:rsidRPr="0014063E" w:rsidTr="0014063E">
        <w:trPr>
          <w:trHeight w:val="300"/>
          <w:jc w:val="center"/>
        </w:trPr>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Scenario</w:t>
            </w:r>
          </w:p>
        </w:tc>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Cut point</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98.68</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1.32</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75.92</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24.08</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97.35</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2.65</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80.15</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19.85</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96.03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82.54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17.46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84.56</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15.44</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87.68</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12.32</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94.37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5.63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89.89</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10.11</w:t>
            </w:r>
          </w:p>
        </w:tc>
      </w:tr>
      <w:tr w:rsidR="0014063E" w:rsidRPr="0014063E" w:rsidTr="0014063E">
        <w:trPr>
          <w:trHeight w:val="300"/>
          <w:jc w:val="center"/>
        </w:trPr>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w:t>
            </w:r>
          </w:p>
        </w:tc>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0.5</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93.38</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6.62</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90.44</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9.56</w:t>
            </w:r>
          </w:p>
        </w:tc>
      </w:tr>
    </w:tbl>
    <w:p w:rsidR="00E45905" w:rsidRDefault="00E45905"/>
    <w:p w:rsidR="00E45905" w:rsidRPr="00E45905" w:rsidRDefault="00E45905" w:rsidP="00E45905">
      <w:pPr>
        <w:pStyle w:val="Heading2"/>
        <w:rPr>
          <w:b w:val="0"/>
        </w:rPr>
      </w:pPr>
      <w:r w:rsidRPr="00E45905">
        <w:rPr>
          <w:b w:val="0"/>
        </w:rPr>
        <w:t>Waiting times</w:t>
      </w:r>
    </w:p>
    <w:p w:rsidR="00E45905" w:rsidRDefault="00E45905">
      <w:r>
        <w:t xml:space="preserve">The graph on the left in Figure 1 shows that in the baseline scenario where there is no DECODE triage that the waiting time for assessment continues to steadily increase over time. The right hand graph of the experimental scenario with the DECODE triage app shows a different trend. </w:t>
      </w:r>
      <w:r w:rsidR="0014063E">
        <w:t>Consistently across all nine scenarios the waiting time continued to increase for 43 working days (61 consecutive days) after the introduction of the DECODE triage system</w:t>
      </w:r>
      <w:r>
        <w:t xml:space="preserve">. At </w:t>
      </w:r>
      <w:r w:rsidR="0014063E">
        <w:t>43</w:t>
      </w:r>
      <w:r>
        <w:t xml:space="preserve"> days the trend reverses and waiting times begin to decrease until </w:t>
      </w:r>
      <w:r w:rsidR="0014063E">
        <w:t>between 142 and 187 working days (198 and 261 consecutive days)</w:t>
      </w:r>
      <w:r>
        <w:t xml:space="preserve"> where you reach a level of less than a 1 day wait time.</w:t>
      </w:r>
    </w:p>
    <w:p w:rsidR="005968D7" w:rsidRDefault="005968D7" w:rsidP="005968D7">
      <w:pPr>
        <w:spacing w:after="0"/>
      </w:pPr>
    </w:p>
    <w:p w:rsidR="00E45905" w:rsidRDefault="0014063E" w:rsidP="00E45905">
      <w:r>
        <w:rPr>
          <w:noProof/>
          <w:lang w:eastAsia="en-GB"/>
        </w:rPr>
        <w:drawing>
          <wp:inline distT="0" distB="0" distL="0" distR="0" wp14:anchorId="77830D9B">
            <wp:extent cx="5575111" cy="1808828"/>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74252" cy="1808549"/>
                    </a:xfrm>
                    <a:prstGeom prst="rect">
                      <a:avLst/>
                    </a:prstGeom>
                    <a:noFill/>
                  </pic:spPr>
                </pic:pic>
              </a:graphicData>
            </a:graphic>
          </wp:inline>
        </w:drawing>
      </w:r>
      <w:r w:rsidR="00E45905">
        <w:t xml:space="preserve">Figure 1 </w:t>
      </w:r>
      <w:proofErr w:type="gramStart"/>
      <w:r w:rsidR="00E45905">
        <w:t>The</w:t>
      </w:r>
      <w:proofErr w:type="gramEnd"/>
      <w:r w:rsidR="00E45905">
        <w:t xml:space="preserve"> change in individual patient waiting times over the course of the simulation (left: baseline scenario, right: DECODE experimental scenario</w:t>
      </w:r>
      <w:r>
        <w:t xml:space="preserve"> 9</w:t>
      </w:r>
      <w:r w:rsidR="00E45905">
        <w:t>)</w:t>
      </w:r>
    </w:p>
    <w:p w:rsidR="00E45905" w:rsidRPr="00E45905" w:rsidRDefault="00E45905" w:rsidP="00E45905">
      <w:pPr>
        <w:pStyle w:val="Heading2"/>
        <w:rPr>
          <w:b w:val="0"/>
        </w:rPr>
      </w:pPr>
      <w:r w:rsidRPr="00E45905">
        <w:rPr>
          <w:b w:val="0"/>
        </w:rPr>
        <w:t>Assessment numbers</w:t>
      </w:r>
    </w:p>
    <w:p w:rsidR="00E45905" w:rsidRDefault="00E45905">
      <w:r>
        <w:t>The impact of DECODE on referral, assessment and diagn</w:t>
      </w:r>
      <w:r w:rsidR="0014063E">
        <w:t>osis numbers for scenarios 1 and 9 in comparison to the base line scenario are shown in Table 2</w:t>
      </w:r>
      <w:r>
        <w:t xml:space="preserve">. There is an increase in the total number of diagnoses made, the number of patients receiving no diagnosis and the overall number of </w:t>
      </w:r>
      <w:r>
        <w:lastRenderedPageBreak/>
        <w:t xml:space="preserve">referrals dealt with. The number of assessments undertaken decreases overall and the number of no diagnosis outcomes by assessment reduces most dramatically by over </w:t>
      </w:r>
      <w:r w:rsidR="00695AD3">
        <w:t>81</w:t>
      </w:r>
      <w:r>
        <w:t>%.</w:t>
      </w:r>
    </w:p>
    <w:p w:rsidR="0014063E" w:rsidRDefault="0014063E" w:rsidP="0014063E">
      <w:pPr>
        <w:jc w:val="center"/>
      </w:pPr>
      <w:r>
        <w:t>Table 2</w:t>
      </w:r>
      <w:r w:rsidRPr="0014063E">
        <w:t xml:space="preserve"> Diagnosis, assessment and referral numbers for the baseline and DECODE scenarios</w:t>
      </w:r>
    </w:p>
    <w:tbl>
      <w:tblPr>
        <w:tblStyle w:val="TableGrid"/>
        <w:tblW w:w="100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183"/>
        <w:gridCol w:w="1276"/>
        <w:gridCol w:w="1150"/>
        <w:gridCol w:w="1150"/>
        <w:gridCol w:w="1053"/>
        <w:gridCol w:w="1150"/>
        <w:gridCol w:w="1131"/>
      </w:tblGrid>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w:t>
            </w:r>
          </w:p>
        </w:tc>
        <w:tc>
          <w:tcPr>
            <w:tcW w:w="3576" w:type="dxa"/>
            <w:gridSpan w:val="3"/>
            <w:tcBorders>
              <w:top w:val="single" w:sz="4" w:space="0" w:color="auto"/>
              <w:left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1</w:t>
            </w:r>
          </w:p>
        </w:tc>
        <w:tc>
          <w:tcPr>
            <w:tcW w:w="3334" w:type="dxa"/>
            <w:gridSpan w:val="3"/>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9</w:t>
            </w:r>
          </w:p>
        </w:tc>
      </w:tr>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 values</w:t>
            </w:r>
          </w:p>
        </w:tc>
        <w:tc>
          <w:tcPr>
            <w:tcW w:w="1276" w:type="dxa"/>
            <w:tcBorders>
              <w:top w:val="single" w:sz="4" w:space="0" w:color="auto"/>
              <w:left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50" w:type="dxa"/>
            <w:tcBorders>
              <w:top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c>
          <w:tcPr>
            <w:tcW w:w="1053" w:type="dxa"/>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31"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r>
      <w:tr w:rsidR="00695AD3" w:rsidRPr="0014063E" w:rsidTr="00695AD3">
        <w:trPr>
          <w:trHeight w:val="300"/>
          <w:jc w:val="center"/>
        </w:trPr>
        <w:tc>
          <w:tcPr>
            <w:tcW w:w="1954" w:type="dxa"/>
            <w:tcBorders>
              <w:top w:val="single" w:sz="4" w:space="0" w:color="auto"/>
            </w:tcBorders>
            <w:noWrap/>
            <w:vAlign w:val="center"/>
            <w:hideMark/>
          </w:tcPr>
          <w:p w:rsidR="00695AD3" w:rsidRPr="0014063E" w:rsidRDefault="00695AD3" w:rsidP="0014063E">
            <w:pPr>
              <w:jc w:val="center"/>
              <w:rPr>
                <w:b/>
                <w:sz w:val="18"/>
              </w:rPr>
            </w:pPr>
            <w:r w:rsidRPr="0014063E">
              <w:rPr>
                <w:b/>
                <w:sz w:val="18"/>
              </w:rPr>
              <w:t>Total diagnoses</w:t>
            </w:r>
          </w:p>
        </w:tc>
        <w:tc>
          <w:tcPr>
            <w:tcW w:w="1183" w:type="dxa"/>
            <w:tcBorders>
              <w:top w:val="single" w:sz="4" w:space="0" w:color="auto"/>
              <w:right w:val="single" w:sz="4" w:space="0" w:color="auto"/>
            </w:tcBorders>
            <w:noWrap/>
            <w:vAlign w:val="center"/>
            <w:hideMark/>
          </w:tcPr>
          <w:p w:rsidR="00695AD3" w:rsidRPr="0014063E" w:rsidRDefault="00695AD3" w:rsidP="0014063E">
            <w:pPr>
              <w:jc w:val="center"/>
              <w:rPr>
                <w:sz w:val="18"/>
              </w:rPr>
            </w:pPr>
            <w:r w:rsidRPr="0014063E">
              <w:rPr>
                <w:sz w:val="18"/>
              </w:rPr>
              <w:t>89</w:t>
            </w:r>
            <w:r>
              <w:rPr>
                <w:sz w:val="18"/>
              </w:rPr>
              <w:t>2</w:t>
            </w:r>
          </w:p>
        </w:tc>
        <w:tc>
          <w:tcPr>
            <w:tcW w:w="1276" w:type="dxa"/>
            <w:tcBorders>
              <w:top w:val="single" w:sz="4" w:space="0" w:color="auto"/>
              <w:lef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1004</w:t>
            </w:r>
          </w:p>
        </w:tc>
        <w:tc>
          <w:tcPr>
            <w:tcW w:w="1150" w:type="dxa"/>
            <w:tcBorders>
              <w:top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112.35</w:t>
            </w:r>
          </w:p>
        </w:tc>
        <w:tc>
          <w:tcPr>
            <w:tcW w:w="1150" w:type="dxa"/>
            <w:tcBorders>
              <w:top w:val="single" w:sz="4" w:space="0" w:color="auto"/>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13%</w:t>
            </w:r>
          </w:p>
        </w:tc>
        <w:tc>
          <w:tcPr>
            <w:tcW w:w="1053" w:type="dxa"/>
            <w:tcBorders>
              <w:top w:val="single" w:sz="4" w:space="0" w:color="auto"/>
              <w:left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955</w:t>
            </w:r>
          </w:p>
        </w:tc>
        <w:tc>
          <w:tcPr>
            <w:tcW w:w="1150" w:type="dxa"/>
            <w:tcBorders>
              <w:top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62.76</w:t>
            </w:r>
          </w:p>
        </w:tc>
        <w:tc>
          <w:tcPr>
            <w:tcW w:w="1131" w:type="dxa"/>
            <w:tcBorders>
              <w:top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7%</w:t>
            </w:r>
          </w:p>
        </w:tc>
      </w:tr>
      <w:tr w:rsidR="00695AD3" w:rsidRPr="0014063E" w:rsidTr="00695AD3">
        <w:trPr>
          <w:trHeight w:val="300"/>
          <w:jc w:val="center"/>
        </w:trPr>
        <w:tc>
          <w:tcPr>
            <w:tcW w:w="1954" w:type="dxa"/>
            <w:noWrap/>
            <w:vAlign w:val="center"/>
            <w:hideMark/>
          </w:tcPr>
          <w:p w:rsidR="00695AD3" w:rsidRPr="0014063E" w:rsidRDefault="00695AD3" w:rsidP="0014063E">
            <w:pPr>
              <w:jc w:val="center"/>
              <w:rPr>
                <w:b/>
                <w:sz w:val="18"/>
              </w:rPr>
            </w:pPr>
            <w:r w:rsidRPr="0014063E">
              <w:rPr>
                <w:b/>
                <w:sz w:val="18"/>
              </w:rPr>
              <w:t>Total no diagnosis by assessment</w:t>
            </w:r>
          </w:p>
        </w:tc>
        <w:tc>
          <w:tcPr>
            <w:tcW w:w="1183" w:type="dxa"/>
            <w:tcBorders>
              <w:right w:val="single" w:sz="4" w:space="0" w:color="auto"/>
            </w:tcBorders>
            <w:noWrap/>
            <w:vAlign w:val="center"/>
            <w:hideMark/>
          </w:tcPr>
          <w:p w:rsidR="00695AD3" w:rsidRPr="0014063E" w:rsidRDefault="00695AD3" w:rsidP="0014063E">
            <w:pPr>
              <w:jc w:val="center"/>
              <w:rPr>
                <w:sz w:val="18"/>
              </w:rPr>
            </w:pPr>
            <w:r w:rsidRPr="0014063E">
              <w:rPr>
                <w:sz w:val="18"/>
              </w:rPr>
              <w:t>749</w:t>
            </w:r>
          </w:p>
        </w:tc>
        <w:tc>
          <w:tcPr>
            <w:tcW w:w="1276" w:type="dxa"/>
            <w:tcBorders>
              <w:lef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254</w:t>
            </w:r>
          </w:p>
        </w:tc>
        <w:tc>
          <w:tcPr>
            <w:tcW w:w="1150" w:type="dxa"/>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-495.09</w:t>
            </w:r>
          </w:p>
        </w:tc>
        <w:tc>
          <w:tcPr>
            <w:tcW w:w="1150" w:type="dxa"/>
            <w:tcBorders>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-66%</w:t>
            </w:r>
          </w:p>
        </w:tc>
        <w:tc>
          <w:tcPr>
            <w:tcW w:w="1053" w:type="dxa"/>
            <w:tcBorders>
              <w:left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140</w:t>
            </w:r>
          </w:p>
        </w:tc>
        <w:tc>
          <w:tcPr>
            <w:tcW w:w="1150"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-609.63</w:t>
            </w:r>
          </w:p>
        </w:tc>
        <w:tc>
          <w:tcPr>
            <w:tcW w:w="1131"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-81%</w:t>
            </w:r>
          </w:p>
        </w:tc>
      </w:tr>
      <w:tr w:rsidR="00695AD3" w:rsidRPr="0014063E" w:rsidTr="00695AD3">
        <w:trPr>
          <w:trHeight w:val="300"/>
          <w:jc w:val="center"/>
        </w:trPr>
        <w:tc>
          <w:tcPr>
            <w:tcW w:w="1954" w:type="dxa"/>
            <w:noWrap/>
            <w:vAlign w:val="center"/>
            <w:hideMark/>
          </w:tcPr>
          <w:p w:rsidR="00695AD3" w:rsidRPr="0014063E" w:rsidRDefault="00695AD3" w:rsidP="0014063E">
            <w:pPr>
              <w:jc w:val="center"/>
              <w:rPr>
                <w:b/>
                <w:sz w:val="18"/>
              </w:rPr>
            </w:pPr>
            <w:r w:rsidRPr="0014063E">
              <w:rPr>
                <w:b/>
                <w:sz w:val="18"/>
              </w:rPr>
              <w:t>Total no diagnosis by triage</w:t>
            </w:r>
          </w:p>
        </w:tc>
        <w:tc>
          <w:tcPr>
            <w:tcW w:w="1183" w:type="dxa"/>
            <w:tcBorders>
              <w:right w:val="single" w:sz="4" w:space="0" w:color="auto"/>
            </w:tcBorders>
            <w:noWrap/>
            <w:vAlign w:val="center"/>
            <w:hideMark/>
          </w:tcPr>
          <w:p w:rsidR="00695AD3" w:rsidRPr="0014063E" w:rsidRDefault="00695AD3" w:rsidP="0014063E">
            <w:pPr>
              <w:jc w:val="center"/>
              <w:rPr>
                <w:sz w:val="18"/>
              </w:rPr>
            </w:pPr>
            <w:r w:rsidRPr="0014063E">
              <w:rPr>
                <w:sz w:val="18"/>
              </w:rPr>
              <w:t>0</w:t>
            </w:r>
          </w:p>
        </w:tc>
        <w:tc>
          <w:tcPr>
            <w:tcW w:w="1276" w:type="dxa"/>
            <w:tcBorders>
              <w:lef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615</w:t>
            </w:r>
          </w:p>
        </w:tc>
        <w:tc>
          <w:tcPr>
            <w:tcW w:w="1150" w:type="dxa"/>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614.94</w:t>
            </w:r>
          </w:p>
        </w:tc>
        <w:tc>
          <w:tcPr>
            <w:tcW w:w="1150" w:type="dxa"/>
            <w:tcBorders>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100%</w:t>
            </w:r>
          </w:p>
        </w:tc>
        <w:tc>
          <w:tcPr>
            <w:tcW w:w="1053" w:type="dxa"/>
            <w:tcBorders>
              <w:left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779</w:t>
            </w:r>
          </w:p>
        </w:tc>
        <w:tc>
          <w:tcPr>
            <w:tcW w:w="1150"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779.40</w:t>
            </w:r>
          </w:p>
        </w:tc>
        <w:tc>
          <w:tcPr>
            <w:tcW w:w="1131"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100%</w:t>
            </w:r>
          </w:p>
        </w:tc>
      </w:tr>
      <w:tr w:rsidR="00695AD3" w:rsidRPr="0014063E" w:rsidTr="00695AD3">
        <w:trPr>
          <w:trHeight w:val="300"/>
          <w:jc w:val="center"/>
        </w:trPr>
        <w:tc>
          <w:tcPr>
            <w:tcW w:w="1954" w:type="dxa"/>
            <w:noWrap/>
            <w:vAlign w:val="center"/>
            <w:hideMark/>
          </w:tcPr>
          <w:p w:rsidR="00695AD3" w:rsidRPr="0014063E" w:rsidRDefault="00695AD3" w:rsidP="0014063E">
            <w:pPr>
              <w:jc w:val="center"/>
              <w:rPr>
                <w:b/>
                <w:sz w:val="18"/>
              </w:rPr>
            </w:pPr>
            <w:r w:rsidRPr="0014063E">
              <w:rPr>
                <w:b/>
                <w:sz w:val="18"/>
              </w:rPr>
              <w:t>Total no diagnosis</w:t>
            </w:r>
          </w:p>
        </w:tc>
        <w:tc>
          <w:tcPr>
            <w:tcW w:w="1183" w:type="dxa"/>
            <w:tcBorders>
              <w:right w:val="single" w:sz="4" w:space="0" w:color="auto"/>
            </w:tcBorders>
            <w:noWrap/>
            <w:vAlign w:val="center"/>
            <w:hideMark/>
          </w:tcPr>
          <w:p w:rsidR="00695AD3" w:rsidRPr="0014063E" w:rsidRDefault="00695AD3" w:rsidP="0014063E">
            <w:pPr>
              <w:jc w:val="center"/>
              <w:rPr>
                <w:sz w:val="18"/>
              </w:rPr>
            </w:pPr>
            <w:r w:rsidRPr="0014063E">
              <w:rPr>
                <w:sz w:val="18"/>
              </w:rPr>
              <w:t>749</w:t>
            </w:r>
          </w:p>
        </w:tc>
        <w:tc>
          <w:tcPr>
            <w:tcW w:w="1276" w:type="dxa"/>
            <w:tcBorders>
              <w:lef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869</w:t>
            </w:r>
          </w:p>
        </w:tc>
        <w:tc>
          <w:tcPr>
            <w:tcW w:w="1150" w:type="dxa"/>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119.85</w:t>
            </w:r>
          </w:p>
        </w:tc>
        <w:tc>
          <w:tcPr>
            <w:tcW w:w="1150" w:type="dxa"/>
            <w:tcBorders>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16%</w:t>
            </w:r>
          </w:p>
        </w:tc>
        <w:tc>
          <w:tcPr>
            <w:tcW w:w="1053" w:type="dxa"/>
            <w:tcBorders>
              <w:left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919</w:t>
            </w:r>
          </w:p>
        </w:tc>
        <w:tc>
          <w:tcPr>
            <w:tcW w:w="1150"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169.78</w:t>
            </w:r>
          </w:p>
        </w:tc>
        <w:tc>
          <w:tcPr>
            <w:tcW w:w="1131"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23%</w:t>
            </w:r>
          </w:p>
        </w:tc>
      </w:tr>
      <w:tr w:rsidR="00695AD3" w:rsidRPr="0014063E" w:rsidTr="00695AD3">
        <w:trPr>
          <w:trHeight w:val="300"/>
          <w:jc w:val="center"/>
        </w:trPr>
        <w:tc>
          <w:tcPr>
            <w:tcW w:w="1954" w:type="dxa"/>
            <w:noWrap/>
            <w:vAlign w:val="center"/>
            <w:hideMark/>
          </w:tcPr>
          <w:p w:rsidR="00695AD3" w:rsidRPr="0014063E" w:rsidRDefault="00695AD3" w:rsidP="0014063E">
            <w:pPr>
              <w:jc w:val="center"/>
              <w:rPr>
                <w:b/>
                <w:sz w:val="18"/>
              </w:rPr>
            </w:pPr>
            <w:r w:rsidRPr="0014063E">
              <w:rPr>
                <w:b/>
                <w:sz w:val="18"/>
              </w:rPr>
              <w:t>Total referrals dealt with</w:t>
            </w:r>
          </w:p>
        </w:tc>
        <w:tc>
          <w:tcPr>
            <w:tcW w:w="1183" w:type="dxa"/>
            <w:tcBorders>
              <w:right w:val="single" w:sz="4" w:space="0" w:color="auto"/>
            </w:tcBorders>
            <w:noWrap/>
            <w:vAlign w:val="center"/>
            <w:hideMark/>
          </w:tcPr>
          <w:p w:rsidR="00695AD3" w:rsidRPr="0014063E" w:rsidRDefault="00695AD3" w:rsidP="0014063E">
            <w:pPr>
              <w:jc w:val="center"/>
              <w:rPr>
                <w:sz w:val="18"/>
              </w:rPr>
            </w:pPr>
            <w:r w:rsidRPr="0014063E">
              <w:rPr>
                <w:sz w:val="18"/>
              </w:rPr>
              <w:t>1641</w:t>
            </w:r>
          </w:p>
        </w:tc>
        <w:tc>
          <w:tcPr>
            <w:tcW w:w="1276" w:type="dxa"/>
            <w:tcBorders>
              <w:lef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1873</w:t>
            </w:r>
          </w:p>
        </w:tc>
        <w:tc>
          <w:tcPr>
            <w:tcW w:w="1150" w:type="dxa"/>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232.20</w:t>
            </w:r>
          </w:p>
        </w:tc>
        <w:tc>
          <w:tcPr>
            <w:tcW w:w="1150" w:type="dxa"/>
            <w:tcBorders>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14%</w:t>
            </w:r>
          </w:p>
        </w:tc>
        <w:tc>
          <w:tcPr>
            <w:tcW w:w="1053" w:type="dxa"/>
            <w:tcBorders>
              <w:left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1874</w:t>
            </w:r>
          </w:p>
        </w:tc>
        <w:tc>
          <w:tcPr>
            <w:tcW w:w="1150"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232.53</w:t>
            </w:r>
          </w:p>
        </w:tc>
        <w:tc>
          <w:tcPr>
            <w:tcW w:w="1131" w:type="dxa"/>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14%</w:t>
            </w:r>
          </w:p>
        </w:tc>
      </w:tr>
      <w:tr w:rsidR="00695AD3" w:rsidRPr="0014063E" w:rsidTr="00695AD3">
        <w:trPr>
          <w:trHeight w:val="300"/>
          <w:jc w:val="center"/>
        </w:trPr>
        <w:tc>
          <w:tcPr>
            <w:tcW w:w="1954" w:type="dxa"/>
            <w:tcBorders>
              <w:bottom w:val="single" w:sz="4" w:space="0" w:color="auto"/>
            </w:tcBorders>
            <w:noWrap/>
            <w:vAlign w:val="center"/>
            <w:hideMark/>
          </w:tcPr>
          <w:p w:rsidR="00695AD3" w:rsidRPr="0014063E" w:rsidRDefault="00695AD3" w:rsidP="0014063E">
            <w:pPr>
              <w:jc w:val="center"/>
              <w:rPr>
                <w:b/>
                <w:sz w:val="18"/>
              </w:rPr>
            </w:pPr>
            <w:r w:rsidRPr="0014063E">
              <w:rPr>
                <w:b/>
                <w:sz w:val="18"/>
              </w:rPr>
              <w:t>Total assessments undertaken</w:t>
            </w:r>
          </w:p>
        </w:tc>
        <w:tc>
          <w:tcPr>
            <w:tcW w:w="1183" w:type="dxa"/>
            <w:tcBorders>
              <w:bottom w:val="single" w:sz="4" w:space="0" w:color="auto"/>
              <w:right w:val="single" w:sz="4" w:space="0" w:color="auto"/>
            </w:tcBorders>
            <w:noWrap/>
            <w:vAlign w:val="center"/>
            <w:hideMark/>
          </w:tcPr>
          <w:p w:rsidR="00695AD3" w:rsidRPr="0014063E" w:rsidRDefault="00695AD3" w:rsidP="0014063E">
            <w:pPr>
              <w:jc w:val="center"/>
              <w:rPr>
                <w:sz w:val="18"/>
              </w:rPr>
            </w:pPr>
            <w:r w:rsidRPr="0014063E">
              <w:rPr>
                <w:sz w:val="18"/>
              </w:rPr>
              <w:t>1641</w:t>
            </w:r>
          </w:p>
        </w:tc>
        <w:tc>
          <w:tcPr>
            <w:tcW w:w="1276" w:type="dxa"/>
            <w:tcBorders>
              <w:left w:val="single" w:sz="4" w:space="0" w:color="auto"/>
              <w:bottom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1258</w:t>
            </w:r>
          </w:p>
        </w:tc>
        <w:tc>
          <w:tcPr>
            <w:tcW w:w="1150" w:type="dxa"/>
            <w:tcBorders>
              <w:bottom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-382.74</w:t>
            </w:r>
          </w:p>
        </w:tc>
        <w:tc>
          <w:tcPr>
            <w:tcW w:w="1150" w:type="dxa"/>
            <w:tcBorders>
              <w:bottom w:val="single" w:sz="4" w:space="0" w:color="auto"/>
              <w:right w:val="single" w:sz="4" w:space="0" w:color="auto"/>
            </w:tcBorders>
            <w:noWrap/>
            <w:vAlign w:val="center"/>
            <w:hideMark/>
          </w:tcPr>
          <w:p w:rsidR="00695AD3" w:rsidRPr="00695AD3" w:rsidRDefault="00695AD3" w:rsidP="00695AD3">
            <w:pPr>
              <w:jc w:val="center"/>
              <w:rPr>
                <w:rFonts w:ascii="Calibri" w:hAnsi="Calibri"/>
                <w:color w:val="000000"/>
                <w:sz w:val="18"/>
              </w:rPr>
            </w:pPr>
            <w:r w:rsidRPr="00695AD3">
              <w:rPr>
                <w:rFonts w:ascii="Calibri" w:hAnsi="Calibri"/>
                <w:color w:val="000000"/>
                <w:sz w:val="18"/>
              </w:rPr>
              <w:t>-23%</w:t>
            </w:r>
          </w:p>
        </w:tc>
        <w:tc>
          <w:tcPr>
            <w:tcW w:w="1053" w:type="dxa"/>
            <w:tcBorders>
              <w:left w:val="single" w:sz="4" w:space="0" w:color="auto"/>
              <w:bottom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1094</w:t>
            </w:r>
          </w:p>
        </w:tc>
        <w:tc>
          <w:tcPr>
            <w:tcW w:w="1150" w:type="dxa"/>
            <w:tcBorders>
              <w:bottom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-546.87</w:t>
            </w:r>
          </w:p>
        </w:tc>
        <w:tc>
          <w:tcPr>
            <w:tcW w:w="1131" w:type="dxa"/>
            <w:tcBorders>
              <w:bottom w:val="single" w:sz="4" w:space="0" w:color="auto"/>
            </w:tcBorders>
            <w:vAlign w:val="center"/>
          </w:tcPr>
          <w:p w:rsidR="00695AD3" w:rsidRPr="00695AD3" w:rsidRDefault="00695AD3" w:rsidP="00695AD3">
            <w:pPr>
              <w:jc w:val="center"/>
              <w:rPr>
                <w:rFonts w:ascii="Calibri" w:hAnsi="Calibri"/>
                <w:color w:val="000000"/>
                <w:sz w:val="18"/>
              </w:rPr>
            </w:pPr>
            <w:r w:rsidRPr="00695AD3">
              <w:rPr>
                <w:rFonts w:ascii="Calibri" w:hAnsi="Calibri"/>
                <w:color w:val="000000"/>
                <w:sz w:val="18"/>
              </w:rPr>
              <w:t>-33%</w:t>
            </w:r>
          </w:p>
        </w:tc>
      </w:tr>
    </w:tbl>
    <w:p w:rsidR="0014063E" w:rsidRDefault="0014063E"/>
    <w:p w:rsidR="00E45905" w:rsidRDefault="00E45905">
      <w:r>
        <w:t>The decrease in the number of assessments undertaken leads to a decrease in resource utilisation (staff members undertaking assessments) from 100%</w:t>
      </w:r>
      <w:r w:rsidR="0014063E">
        <w:t xml:space="preserve"> utilisation at baseline</w:t>
      </w:r>
      <w:r>
        <w:t xml:space="preserve"> to</w:t>
      </w:r>
      <w:r w:rsidR="0014063E">
        <w:t xml:space="preserve"> between 67% and</w:t>
      </w:r>
      <w:r>
        <w:t xml:space="preserve"> 77%.</w:t>
      </w:r>
    </w:p>
    <w:p w:rsidR="00E45905" w:rsidRPr="00E45905" w:rsidRDefault="00E45905" w:rsidP="00E45905">
      <w:pPr>
        <w:pStyle w:val="Heading2"/>
        <w:rPr>
          <w:b w:val="0"/>
        </w:rPr>
      </w:pPr>
      <w:r w:rsidRPr="00E45905">
        <w:rPr>
          <w:b w:val="0"/>
        </w:rPr>
        <w:t>False negatives</w:t>
      </w:r>
    </w:p>
    <w:p w:rsidR="00E45905" w:rsidRDefault="00E45905">
      <w:r>
        <w:t>In the scenario</w:t>
      </w:r>
      <w:r w:rsidR="0014063E">
        <w:t>s</w:t>
      </w:r>
      <w:r>
        <w:t xml:space="preserve"> </w:t>
      </w:r>
      <w:r w:rsidR="0014063E">
        <w:t>tested in the model</w:t>
      </w:r>
      <w:r>
        <w:t xml:space="preserve"> the number of false negatives produced by the DECODE </w:t>
      </w:r>
      <w:r w:rsidR="0014063E">
        <w:t>system</w:t>
      </w:r>
      <w:r>
        <w:t xml:space="preserve"> </w:t>
      </w:r>
      <w:r w:rsidR="0014063E">
        <w:t xml:space="preserve">are between 0.68% in scenario 1 (6 people per year) and </w:t>
      </w:r>
      <w:r>
        <w:t>3</w:t>
      </w:r>
      <w:r w:rsidR="0014063E">
        <w:t>.33</w:t>
      </w:r>
      <w:r>
        <w:t>%</w:t>
      </w:r>
      <w:r w:rsidR="0014063E">
        <w:t xml:space="preserve"> in scenario 9</w:t>
      </w:r>
      <w:r>
        <w:t xml:space="preserve"> (</w:t>
      </w:r>
      <w:r w:rsidR="0014063E">
        <w:t>31</w:t>
      </w:r>
      <w:r>
        <w:t xml:space="preserve"> people</w:t>
      </w:r>
      <w:r w:rsidR="0014063E">
        <w:t xml:space="preserve"> per year</w:t>
      </w:r>
      <w:r>
        <w:t xml:space="preserve">) of the total number of referrals dealt with. </w:t>
      </w:r>
      <w:r w:rsidR="0014063E">
        <w:t>Reducing</w:t>
      </w:r>
      <w:r>
        <w:t xml:space="preserve"> the cut point for the DECODE triage</w:t>
      </w:r>
      <w:r w:rsidR="0014063E">
        <w:t xml:space="preserve"> process</w:t>
      </w:r>
      <w:r>
        <w:t xml:space="preserve"> reduce</w:t>
      </w:r>
      <w:r w:rsidR="0014063E">
        <w:t>s</w:t>
      </w:r>
      <w:r>
        <w:t xml:space="preserve"> the number of false negatives</w:t>
      </w:r>
      <w:r w:rsidR="0014063E">
        <w:t xml:space="preserve"> produced</w:t>
      </w:r>
      <w:r>
        <w:t xml:space="preserve">; the impact of changing the cut point for triage on false negatives </w:t>
      </w:r>
      <w:r w:rsidR="0014063E">
        <w:t xml:space="preserve">and </w:t>
      </w:r>
      <w:r>
        <w:t xml:space="preserve">resource utilisation </w:t>
      </w:r>
      <w:r w:rsidR="0014063E">
        <w:t>are</w:t>
      </w:r>
      <w:r>
        <w:t xml:space="preserve"> show in Figure 2.</w:t>
      </w:r>
    </w:p>
    <w:p w:rsidR="00E45905" w:rsidRDefault="0014063E">
      <w:r>
        <w:rPr>
          <w:noProof/>
          <w:lang w:eastAsia="en-GB"/>
        </w:rPr>
        <w:drawing>
          <wp:inline distT="0" distB="0" distL="0" distR="0" wp14:anchorId="16BF3DAA">
            <wp:extent cx="5145206" cy="30935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284" cy="3095397"/>
                    </a:xfrm>
                    <a:prstGeom prst="rect">
                      <a:avLst/>
                    </a:prstGeom>
                    <a:noFill/>
                  </pic:spPr>
                </pic:pic>
              </a:graphicData>
            </a:graphic>
          </wp:inline>
        </w:drawing>
      </w:r>
    </w:p>
    <w:p w:rsidR="00E45905" w:rsidRDefault="00E45905">
      <w:pPr>
        <w:rPr>
          <w:lang w:eastAsia="en-GB"/>
        </w:rPr>
      </w:pPr>
      <w:r>
        <w:rPr>
          <w:lang w:eastAsia="en-GB"/>
        </w:rPr>
        <w:t xml:space="preserve">Figure 2 </w:t>
      </w:r>
      <w:r w:rsidR="0014063E">
        <w:rPr>
          <w:lang w:eastAsia="en-GB"/>
        </w:rPr>
        <w:t>Top left: resource utilisation; top right: time taken for the queue to be cleared; bottom centre: false negative rate as a percentage of the total referrals handled.</w:t>
      </w:r>
    </w:p>
    <w:p w:rsidR="0014063E" w:rsidRDefault="0014063E" w:rsidP="0014063E">
      <w:r w:rsidRPr="00E45905">
        <w:lastRenderedPageBreak/>
        <w:t>From a cut point of 0.25 or less the n</w:t>
      </w:r>
      <w:r>
        <w:t>umber of false negatives are</w:t>
      </w:r>
      <w:r w:rsidRPr="00E45905">
        <w:t xml:space="preserve"> less than 2</w:t>
      </w:r>
      <w:r>
        <w:t>.5</w:t>
      </w:r>
      <w:r w:rsidRPr="00E45905">
        <w:t xml:space="preserve">% of the total referrals dealt with. For cut points of between 0.25 and 0.1 resource utilisation is decreased to between </w:t>
      </w:r>
      <w:r>
        <w:t>71</w:t>
      </w:r>
      <w:r w:rsidRPr="00E45905">
        <w:t xml:space="preserve">% and </w:t>
      </w:r>
      <w:r>
        <w:t>77</w:t>
      </w:r>
      <w:r w:rsidRPr="00E45905">
        <w:t xml:space="preserve">% respectively. This demonstrates that even if the risk of false negatives is mitigated to its maximum extent (0.1 cut point) </w:t>
      </w:r>
      <w:r>
        <w:t xml:space="preserve">large </w:t>
      </w:r>
      <w:r w:rsidRPr="00E45905">
        <w:t xml:space="preserve">resource capacity savings can be achieved and </w:t>
      </w:r>
      <w:r>
        <w:t>F</w:t>
      </w:r>
      <w:r w:rsidRPr="00E45905">
        <w:t>igure</w:t>
      </w:r>
      <w:r>
        <w:t xml:space="preserve"> 2 also</w:t>
      </w:r>
      <w:r w:rsidRPr="00E45905">
        <w:t xml:space="preserve"> shows that a waiting lime of less than one day can be achieved </w:t>
      </w:r>
      <w:r>
        <w:t xml:space="preserve">at any cut-point level of 0.1 or above </w:t>
      </w:r>
      <w:r w:rsidRPr="00E45905">
        <w:t>but</w:t>
      </w:r>
      <w:r>
        <w:t xml:space="preserve"> the lower the cut-point the more time it</w:t>
      </w:r>
      <w:r w:rsidRPr="00E45905">
        <w:t xml:space="preserve"> will take for the queue to be cleared.</w:t>
      </w:r>
    </w:p>
    <w:p w:rsidR="00E45905" w:rsidRDefault="00E45905" w:rsidP="00E45905">
      <w:pPr>
        <w:pStyle w:val="Heading1"/>
        <w:rPr>
          <w:lang w:eastAsia="en-GB"/>
        </w:rPr>
      </w:pPr>
      <w:r>
        <w:rPr>
          <w:lang w:eastAsia="en-GB"/>
        </w:rPr>
        <w:t>Implications</w:t>
      </w:r>
    </w:p>
    <w:p w:rsidR="00E45905" w:rsidRDefault="00E45905">
      <w:pPr>
        <w:rPr>
          <w:lang w:eastAsia="en-GB"/>
        </w:rPr>
      </w:pPr>
      <w:r>
        <w:rPr>
          <w:lang w:eastAsia="en-GB"/>
        </w:rPr>
        <w:t xml:space="preserve">The DECODE triage app can be used to reduce the waiting times at the Exeter memory clinic and additional capacity will be released from the system. When DECODE is implemented it will take approximately </w:t>
      </w:r>
      <w:r w:rsidR="0014063E">
        <w:rPr>
          <w:lang w:eastAsia="en-GB"/>
        </w:rPr>
        <w:t>61 consecutive</w:t>
      </w:r>
      <w:r>
        <w:rPr>
          <w:lang w:eastAsia="en-GB"/>
        </w:rPr>
        <w:t xml:space="preserve"> days for there to be a measurable reduction in waiting times and it could then take between </w:t>
      </w:r>
      <w:r w:rsidR="0014063E">
        <w:rPr>
          <w:lang w:eastAsia="en-GB"/>
        </w:rPr>
        <w:t>200 and 250</w:t>
      </w:r>
      <w:r>
        <w:rPr>
          <w:lang w:eastAsia="en-GB"/>
        </w:rPr>
        <w:t xml:space="preserve"> </w:t>
      </w:r>
      <w:r w:rsidR="0014063E">
        <w:rPr>
          <w:lang w:eastAsia="en-GB"/>
        </w:rPr>
        <w:t>consecutive</w:t>
      </w:r>
      <w:r>
        <w:rPr>
          <w:lang w:eastAsia="en-GB"/>
        </w:rPr>
        <w:t xml:space="preserve"> days until the minimum waiting time is reached depending on the cut point used for triaging patients.</w:t>
      </w:r>
    </w:p>
    <w:p w:rsidR="00E45905" w:rsidRDefault="00E45905">
      <w:pPr>
        <w:rPr>
          <w:lang w:eastAsia="en-GB"/>
        </w:rPr>
      </w:pPr>
    </w:p>
    <w:p w:rsidR="00E45905" w:rsidRPr="00E45905" w:rsidRDefault="00E45905">
      <w:pPr>
        <w:rPr>
          <w:lang w:eastAsia="en-GB"/>
        </w:rPr>
      </w:pPr>
    </w:p>
    <w:sectPr w:rsidR="00E45905" w:rsidRPr="00E4590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D7" w:rsidRDefault="005968D7" w:rsidP="005968D7">
      <w:pPr>
        <w:spacing w:after="0" w:line="240" w:lineRule="auto"/>
      </w:pPr>
      <w:r>
        <w:separator/>
      </w:r>
    </w:p>
  </w:endnote>
  <w:endnote w:type="continuationSeparator" w:id="0">
    <w:p w:rsidR="005968D7" w:rsidRDefault="005968D7" w:rsidP="0059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66" w:rsidRPr="001E0E66" w:rsidRDefault="001E0E66">
    <w:pPr>
      <w:pStyle w:val="Footer"/>
      <w:rPr>
        <w:sz w:val="16"/>
      </w:rPr>
    </w:pPr>
    <w:r w:rsidRPr="001E0E66">
      <w:rPr>
        <w:sz w:val="16"/>
      </w:rPr>
      <w:t xml:space="preserve">This report and its contents have been prepared by Dr Sean Manzi, NIHR PenCLAHRC, University of Exeter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D7" w:rsidRDefault="005968D7" w:rsidP="005968D7">
      <w:pPr>
        <w:spacing w:after="0" w:line="240" w:lineRule="auto"/>
      </w:pPr>
      <w:r>
        <w:separator/>
      </w:r>
    </w:p>
  </w:footnote>
  <w:footnote w:type="continuationSeparator" w:id="0">
    <w:p w:rsidR="005968D7" w:rsidRDefault="005968D7" w:rsidP="00596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D7" w:rsidRDefault="005968D7">
    <w:pPr>
      <w:pStyle w:val="Header"/>
    </w:pPr>
    <w:r>
      <w:rPr>
        <w:noProof/>
        <w:lang w:eastAsia="en-GB"/>
      </w:rPr>
      <w:drawing>
        <wp:anchor distT="0" distB="0" distL="114300" distR="114300" simplePos="0" relativeHeight="251659264" behindDoc="1" locked="0" layoutInCell="1" allowOverlap="1" wp14:anchorId="651CABF6" wp14:editId="17FDEA54">
          <wp:simplePos x="0" y="0"/>
          <wp:positionH relativeFrom="column">
            <wp:posOffset>-580390</wp:posOffset>
          </wp:positionH>
          <wp:positionV relativeFrom="paragraph">
            <wp:posOffset>-182880</wp:posOffset>
          </wp:positionV>
          <wp:extent cx="1760220" cy="580390"/>
          <wp:effectExtent l="0" t="0" r="0" b="0"/>
          <wp:wrapThrough wrapText="bothSides">
            <wp:wrapPolygon edited="0">
              <wp:start x="0" y="0"/>
              <wp:lineTo x="0" y="20560"/>
              <wp:lineTo x="21273" y="20560"/>
              <wp:lineTo x="21273" y="0"/>
              <wp:lineTo x="0" y="0"/>
            </wp:wrapPolygon>
          </wp:wrapThrough>
          <wp:docPr id="7" name="Picture 7" descr="\\isad.isadroot.ex.ac.uk\UOE\User\My Pictures\logo\NIHR CLAHRC South West Penins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ad.isadroot.ex.ac.uk\UOE\User\My Pictures\logo\NIHR CLAHRC South West Peninsu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0AB7E80" wp14:editId="1E20A312">
          <wp:simplePos x="0" y="0"/>
          <wp:positionH relativeFrom="column">
            <wp:posOffset>4810125</wp:posOffset>
          </wp:positionH>
          <wp:positionV relativeFrom="paragraph">
            <wp:posOffset>-132715</wp:posOffset>
          </wp:positionV>
          <wp:extent cx="1384935" cy="480695"/>
          <wp:effectExtent l="0" t="0" r="5715" b="0"/>
          <wp:wrapThrough wrapText="bothSides">
            <wp:wrapPolygon edited="0">
              <wp:start x="0" y="0"/>
              <wp:lineTo x="0" y="20544"/>
              <wp:lineTo x="21392" y="20544"/>
              <wp:lineTo x="21392" y="0"/>
              <wp:lineTo x="0" y="0"/>
            </wp:wrapPolygon>
          </wp:wrapThrough>
          <wp:docPr id="8" name="Picture 8" descr="\\isad.isadroot.ex.ac.uk\UOE\User\My Pictures\logo\NIHR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ad.isadroot.ex.ac.uk\UOE\User\My Pictures\logo\NIHR_colour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8D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05"/>
    <w:rsid w:val="000047DD"/>
    <w:rsid w:val="00005BCA"/>
    <w:rsid w:val="00005BF7"/>
    <w:rsid w:val="000113BE"/>
    <w:rsid w:val="00011973"/>
    <w:rsid w:val="000132A6"/>
    <w:rsid w:val="00017A3C"/>
    <w:rsid w:val="000229F7"/>
    <w:rsid w:val="00026B99"/>
    <w:rsid w:val="0003389F"/>
    <w:rsid w:val="000339A3"/>
    <w:rsid w:val="00034824"/>
    <w:rsid w:val="00043F1D"/>
    <w:rsid w:val="00045B3E"/>
    <w:rsid w:val="0004733E"/>
    <w:rsid w:val="00052818"/>
    <w:rsid w:val="0005764C"/>
    <w:rsid w:val="00064A3E"/>
    <w:rsid w:val="00065F21"/>
    <w:rsid w:val="0008269E"/>
    <w:rsid w:val="00082F1A"/>
    <w:rsid w:val="000830BD"/>
    <w:rsid w:val="000843B3"/>
    <w:rsid w:val="00087798"/>
    <w:rsid w:val="000A09DE"/>
    <w:rsid w:val="000B2108"/>
    <w:rsid w:val="000B2E49"/>
    <w:rsid w:val="000C668A"/>
    <w:rsid w:val="000D1A11"/>
    <w:rsid w:val="000D7CD7"/>
    <w:rsid w:val="000E6615"/>
    <w:rsid w:val="000F342E"/>
    <w:rsid w:val="0011215A"/>
    <w:rsid w:val="001130A0"/>
    <w:rsid w:val="00116D55"/>
    <w:rsid w:val="00117B96"/>
    <w:rsid w:val="00126DC5"/>
    <w:rsid w:val="001335A8"/>
    <w:rsid w:val="001344D6"/>
    <w:rsid w:val="00134AF5"/>
    <w:rsid w:val="0014063E"/>
    <w:rsid w:val="001413FE"/>
    <w:rsid w:val="00144C4E"/>
    <w:rsid w:val="00152420"/>
    <w:rsid w:val="00157E9B"/>
    <w:rsid w:val="00182BE3"/>
    <w:rsid w:val="00183281"/>
    <w:rsid w:val="0018791E"/>
    <w:rsid w:val="001A0686"/>
    <w:rsid w:val="001A72B6"/>
    <w:rsid w:val="001D3446"/>
    <w:rsid w:val="001D6BB9"/>
    <w:rsid w:val="001E0E66"/>
    <w:rsid w:val="00207049"/>
    <w:rsid w:val="002073EA"/>
    <w:rsid w:val="00207673"/>
    <w:rsid w:val="00231984"/>
    <w:rsid w:val="002362D0"/>
    <w:rsid w:val="00242FF9"/>
    <w:rsid w:val="00254C39"/>
    <w:rsid w:val="002618D6"/>
    <w:rsid w:val="00265A8D"/>
    <w:rsid w:val="002753F2"/>
    <w:rsid w:val="00277234"/>
    <w:rsid w:val="0028172D"/>
    <w:rsid w:val="002817A9"/>
    <w:rsid w:val="00286A93"/>
    <w:rsid w:val="002908C3"/>
    <w:rsid w:val="00291C0D"/>
    <w:rsid w:val="002C0AA2"/>
    <w:rsid w:val="002C7C4D"/>
    <w:rsid w:val="002D2657"/>
    <w:rsid w:val="002E3092"/>
    <w:rsid w:val="002E3D96"/>
    <w:rsid w:val="002F0213"/>
    <w:rsid w:val="002F2A15"/>
    <w:rsid w:val="00312F16"/>
    <w:rsid w:val="003165A3"/>
    <w:rsid w:val="003315D3"/>
    <w:rsid w:val="00345574"/>
    <w:rsid w:val="00352359"/>
    <w:rsid w:val="0036118B"/>
    <w:rsid w:val="003635F2"/>
    <w:rsid w:val="00365498"/>
    <w:rsid w:val="0037305B"/>
    <w:rsid w:val="003802F1"/>
    <w:rsid w:val="0038067C"/>
    <w:rsid w:val="003919D0"/>
    <w:rsid w:val="003940B6"/>
    <w:rsid w:val="00395DCA"/>
    <w:rsid w:val="003A0B01"/>
    <w:rsid w:val="003A29FD"/>
    <w:rsid w:val="003A62A0"/>
    <w:rsid w:val="003A7544"/>
    <w:rsid w:val="003B34D3"/>
    <w:rsid w:val="003B649D"/>
    <w:rsid w:val="003C5743"/>
    <w:rsid w:val="003C5AC7"/>
    <w:rsid w:val="003D1A40"/>
    <w:rsid w:val="003D6ACB"/>
    <w:rsid w:val="003E1144"/>
    <w:rsid w:val="003E206E"/>
    <w:rsid w:val="003E3688"/>
    <w:rsid w:val="003E5BCC"/>
    <w:rsid w:val="003F1B9A"/>
    <w:rsid w:val="003F49D4"/>
    <w:rsid w:val="00402D36"/>
    <w:rsid w:val="00404267"/>
    <w:rsid w:val="00406E4A"/>
    <w:rsid w:val="004123F0"/>
    <w:rsid w:val="0041513E"/>
    <w:rsid w:val="004169FF"/>
    <w:rsid w:val="004205CA"/>
    <w:rsid w:val="00443E23"/>
    <w:rsid w:val="00452BD8"/>
    <w:rsid w:val="00461559"/>
    <w:rsid w:val="0046768C"/>
    <w:rsid w:val="004743D9"/>
    <w:rsid w:val="00480697"/>
    <w:rsid w:val="00480BE9"/>
    <w:rsid w:val="004810AB"/>
    <w:rsid w:val="00482D29"/>
    <w:rsid w:val="0048376F"/>
    <w:rsid w:val="00492543"/>
    <w:rsid w:val="004A393B"/>
    <w:rsid w:val="004A453B"/>
    <w:rsid w:val="004B5CEC"/>
    <w:rsid w:val="004C0963"/>
    <w:rsid w:val="004C6478"/>
    <w:rsid w:val="004D18FF"/>
    <w:rsid w:val="004F14B2"/>
    <w:rsid w:val="004F1579"/>
    <w:rsid w:val="004F3FBD"/>
    <w:rsid w:val="004F6B1B"/>
    <w:rsid w:val="004F6DCB"/>
    <w:rsid w:val="00507278"/>
    <w:rsid w:val="005150B8"/>
    <w:rsid w:val="005166F2"/>
    <w:rsid w:val="00530943"/>
    <w:rsid w:val="00534C2E"/>
    <w:rsid w:val="00541DB1"/>
    <w:rsid w:val="00560A09"/>
    <w:rsid w:val="005728FF"/>
    <w:rsid w:val="00573864"/>
    <w:rsid w:val="005745C3"/>
    <w:rsid w:val="00590148"/>
    <w:rsid w:val="005968D7"/>
    <w:rsid w:val="00597C5D"/>
    <w:rsid w:val="005A1EAB"/>
    <w:rsid w:val="005A34A4"/>
    <w:rsid w:val="005B1C7B"/>
    <w:rsid w:val="005B4B77"/>
    <w:rsid w:val="005C1875"/>
    <w:rsid w:val="005C33BD"/>
    <w:rsid w:val="005C744B"/>
    <w:rsid w:val="005D5CBC"/>
    <w:rsid w:val="005D66C4"/>
    <w:rsid w:val="005F2B9E"/>
    <w:rsid w:val="005F57B8"/>
    <w:rsid w:val="00612053"/>
    <w:rsid w:val="0061340C"/>
    <w:rsid w:val="006164F5"/>
    <w:rsid w:val="0062100C"/>
    <w:rsid w:val="00625901"/>
    <w:rsid w:val="00627491"/>
    <w:rsid w:val="0063131D"/>
    <w:rsid w:val="00633999"/>
    <w:rsid w:val="006418A9"/>
    <w:rsid w:val="00644135"/>
    <w:rsid w:val="00646FD1"/>
    <w:rsid w:val="006573BA"/>
    <w:rsid w:val="00661CF7"/>
    <w:rsid w:val="0067441B"/>
    <w:rsid w:val="00677E95"/>
    <w:rsid w:val="00684B14"/>
    <w:rsid w:val="00686F93"/>
    <w:rsid w:val="00695AD3"/>
    <w:rsid w:val="006A233E"/>
    <w:rsid w:val="006B0E19"/>
    <w:rsid w:val="006B16E5"/>
    <w:rsid w:val="006B4F24"/>
    <w:rsid w:val="006B5BAB"/>
    <w:rsid w:val="006D2373"/>
    <w:rsid w:val="006D243D"/>
    <w:rsid w:val="006D5EE3"/>
    <w:rsid w:val="006E0F37"/>
    <w:rsid w:val="006E251B"/>
    <w:rsid w:val="006E3C8C"/>
    <w:rsid w:val="006E6308"/>
    <w:rsid w:val="006E7C0F"/>
    <w:rsid w:val="006F20B6"/>
    <w:rsid w:val="006F758E"/>
    <w:rsid w:val="007002D4"/>
    <w:rsid w:val="007117E8"/>
    <w:rsid w:val="00720116"/>
    <w:rsid w:val="00722BC4"/>
    <w:rsid w:val="00723830"/>
    <w:rsid w:val="00725AE3"/>
    <w:rsid w:val="00725F36"/>
    <w:rsid w:val="007338DF"/>
    <w:rsid w:val="007414DB"/>
    <w:rsid w:val="00742F3B"/>
    <w:rsid w:val="007447C9"/>
    <w:rsid w:val="00745309"/>
    <w:rsid w:val="00746199"/>
    <w:rsid w:val="007568AA"/>
    <w:rsid w:val="00766A55"/>
    <w:rsid w:val="00776ECB"/>
    <w:rsid w:val="00785F19"/>
    <w:rsid w:val="00794C3D"/>
    <w:rsid w:val="007B0BBC"/>
    <w:rsid w:val="007B5A58"/>
    <w:rsid w:val="007B666E"/>
    <w:rsid w:val="007B7DA6"/>
    <w:rsid w:val="007C1B55"/>
    <w:rsid w:val="007C29D2"/>
    <w:rsid w:val="007C2C28"/>
    <w:rsid w:val="007C478F"/>
    <w:rsid w:val="007C5A79"/>
    <w:rsid w:val="007C79DA"/>
    <w:rsid w:val="007E2181"/>
    <w:rsid w:val="007E3B95"/>
    <w:rsid w:val="007E4719"/>
    <w:rsid w:val="007F39E3"/>
    <w:rsid w:val="00805EE1"/>
    <w:rsid w:val="00807B61"/>
    <w:rsid w:val="00810A9A"/>
    <w:rsid w:val="00810F39"/>
    <w:rsid w:val="008117B9"/>
    <w:rsid w:val="0081181F"/>
    <w:rsid w:val="0081628A"/>
    <w:rsid w:val="00821BAF"/>
    <w:rsid w:val="0082244B"/>
    <w:rsid w:val="008264B8"/>
    <w:rsid w:val="00827755"/>
    <w:rsid w:val="008405D5"/>
    <w:rsid w:val="008412AA"/>
    <w:rsid w:val="00844A14"/>
    <w:rsid w:val="008478E2"/>
    <w:rsid w:val="00856966"/>
    <w:rsid w:val="00861A42"/>
    <w:rsid w:val="00861B8A"/>
    <w:rsid w:val="00871B29"/>
    <w:rsid w:val="00873489"/>
    <w:rsid w:val="00874E21"/>
    <w:rsid w:val="008769E6"/>
    <w:rsid w:val="008840D5"/>
    <w:rsid w:val="00886138"/>
    <w:rsid w:val="00890080"/>
    <w:rsid w:val="00890FC5"/>
    <w:rsid w:val="00892625"/>
    <w:rsid w:val="008A040A"/>
    <w:rsid w:val="008A6AF8"/>
    <w:rsid w:val="008B16BB"/>
    <w:rsid w:val="008B3863"/>
    <w:rsid w:val="008B4198"/>
    <w:rsid w:val="008B59E6"/>
    <w:rsid w:val="008C3533"/>
    <w:rsid w:val="008C463A"/>
    <w:rsid w:val="008C58E4"/>
    <w:rsid w:val="008C63A0"/>
    <w:rsid w:val="008C6B62"/>
    <w:rsid w:val="008D7B09"/>
    <w:rsid w:val="008E1190"/>
    <w:rsid w:val="008F43C4"/>
    <w:rsid w:val="0090649C"/>
    <w:rsid w:val="009111F2"/>
    <w:rsid w:val="00922FB2"/>
    <w:rsid w:val="0092359F"/>
    <w:rsid w:val="009411CB"/>
    <w:rsid w:val="0094597B"/>
    <w:rsid w:val="00950915"/>
    <w:rsid w:val="009670D3"/>
    <w:rsid w:val="00973324"/>
    <w:rsid w:val="00975CBB"/>
    <w:rsid w:val="0098086B"/>
    <w:rsid w:val="009846E2"/>
    <w:rsid w:val="00984DE8"/>
    <w:rsid w:val="009912D7"/>
    <w:rsid w:val="009A3DD4"/>
    <w:rsid w:val="009B6633"/>
    <w:rsid w:val="009C09E9"/>
    <w:rsid w:val="009C5A18"/>
    <w:rsid w:val="009D0653"/>
    <w:rsid w:val="009D4156"/>
    <w:rsid w:val="009F7290"/>
    <w:rsid w:val="009F7934"/>
    <w:rsid w:val="00A032EB"/>
    <w:rsid w:val="00A04824"/>
    <w:rsid w:val="00A05454"/>
    <w:rsid w:val="00A06722"/>
    <w:rsid w:val="00A15C09"/>
    <w:rsid w:val="00A2661D"/>
    <w:rsid w:val="00A318AF"/>
    <w:rsid w:val="00A34FDE"/>
    <w:rsid w:val="00A36C55"/>
    <w:rsid w:val="00A43CCE"/>
    <w:rsid w:val="00A44912"/>
    <w:rsid w:val="00A52B02"/>
    <w:rsid w:val="00A67A64"/>
    <w:rsid w:val="00A7615D"/>
    <w:rsid w:val="00A85A6C"/>
    <w:rsid w:val="00AA45F5"/>
    <w:rsid w:val="00AB3B3D"/>
    <w:rsid w:val="00AC05F9"/>
    <w:rsid w:val="00AD0305"/>
    <w:rsid w:val="00AD4F8F"/>
    <w:rsid w:val="00AE24B7"/>
    <w:rsid w:val="00B0783F"/>
    <w:rsid w:val="00B07D86"/>
    <w:rsid w:val="00B12EA5"/>
    <w:rsid w:val="00B15301"/>
    <w:rsid w:val="00B21BD1"/>
    <w:rsid w:val="00B22454"/>
    <w:rsid w:val="00B24C7E"/>
    <w:rsid w:val="00B44EBE"/>
    <w:rsid w:val="00B57F7B"/>
    <w:rsid w:val="00B60858"/>
    <w:rsid w:val="00B658DA"/>
    <w:rsid w:val="00B7053A"/>
    <w:rsid w:val="00B76620"/>
    <w:rsid w:val="00B76DE0"/>
    <w:rsid w:val="00B818E6"/>
    <w:rsid w:val="00B84BA0"/>
    <w:rsid w:val="00B94B4E"/>
    <w:rsid w:val="00BA0276"/>
    <w:rsid w:val="00BA1477"/>
    <w:rsid w:val="00BA2256"/>
    <w:rsid w:val="00BB22B1"/>
    <w:rsid w:val="00BB5BD9"/>
    <w:rsid w:val="00BC1778"/>
    <w:rsid w:val="00BC4EF6"/>
    <w:rsid w:val="00BC5034"/>
    <w:rsid w:val="00BC55A5"/>
    <w:rsid w:val="00BD07A0"/>
    <w:rsid w:val="00BD5CDD"/>
    <w:rsid w:val="00BD6533"/>
    <w:rsid w:val="00BE1F3A"/>
    <w:rsid w:val="00BE523E"/>
    <w:rsid w:val="00BE648D"/>
    <w:rsid w:val="00BE74FB"/>
    <w:rsid w:val="00BF2D01"/>
    <w:rsid w:val="00BF779F"/>
    <w:rsid w:val="00C0296B"/>
    <w:rsid w:val="00C076A1"/>
    <w:rsid w:val="00C20007"/>
    <w:rsid w:val="00C21A8B"/>
    <w:rsid w:val="00C243D6"/>
    <w:rsid w:val="00C27F7C"/>
    <w:rsid w:val="00C3271E"/>
    <w:rsid w:val="00C34A7A"/>
    <w:rsid w:val="00C40CE5"/>
    <w:rsid w:val="00C42BF2"/>
    <w:rsid w:val="00C66E76"/>
    <w:rsid w:val="00C72516"/>
    <w:rsid w:val="00C74D6C"/>
    <w:rsid w:val="00C874F8"/>
    <w:rsid w:val="00C90B7D"/>
    <w:rsid w:val="00CA0FA3"/>
    <w:rsid w:val="00CA1C3E"/>
    <w:rsid w:val="00CA2EE6"/>
    <w:rsid w:val="00CA65C3"/>
    <w:rsid w:val="00CB5DC0"/>
    <w:rsid w:val="00CC2099"/>
    <w:rsid w:val="00CD40D6"/>
    <w:rsid w:val="00CE748D"/>
    <w:rsid w:val="00CF07CA"/>
    <w:rsid w:val="00CF4CBE"/>
    <w:rsid w:val="00D046D7"/>
    <w:rsid w:val="00D11BBD"/>
    <w:rsid w:val="00D129DC"/>
    <w:rsid w:val="00D2052D"/>
    <w:rsid w:val="00D27C7E"/>
    <w:rsid w:val="00D3291C"/>
    <w:rsid w:val="00D34329"/>
    <w:rsid w:val="00D35D62"/>
    <w:rsid w:val="00D41F12"/>
    <w:rsid w:val="00D47FDB"/>
    <w:rsid w:val="00D523A7"/>
    <w:rsid w:val="00D549D7"/>
    <w:rsid w:val="00D54A7E"/>
    <w:rsid w:val="00D60CB6"/>
    <w:rsid w:val="00D60E97"/>
    <w:rsid w:val="00D648CA"/>
    <w:rsid w:val="00D663A8"/>
    <w:rsid w:val="00D72745"/>
    <w:rsid w:val="00D737DD"/>
    <w:rsid w:val="00D73B70"/>
    <w:rsid w:val="00D751A7"/>
    <w:rsid w:val="00D83E16"/>
    <w:rsid w:val="00DA74F4"/>
    <w:rsid w:val="00DB29D5"/>
    <w:rsid w:val="00DB432A"/>
    <w:rsid w:val="00DC3537"/>
    <w:rsid w:val="00DC789C"/>
    <w:rsid w:val="00DD408D"/>
    <w:rsid w:val="00DE075B"/>
    <w:rsid w:val="00DF250E"/>
    <w:rsid w:val="00E033A1"/>
    <w:rsid w:val="00E150AD"/>
    <w:rsid w:val="00E21BB5"/>
    <w:rsid w:val="00E25FEC"/>
    <w:rsid w:val="00E270D6"/>
    <w:rsid w:val="00E35333"/>
    <w:rsid w:val="00E428EC"/>
    <w:rsid w:val="00E43EB3"/>
    <w:rsid w:val="00E45905"/>
    <w:rsid w:val="00E46C9A"/>
    <w:rsid w:val="00E530F4"/>
    <w:rsid w:val="00E569AB"/>
    <w:rsid w:val="00E60B25"/>
    <w:rsid w:val="00E64410"/>
    <w:rsid w:val="00E64F25"/>
    <w:rsid w:val="00E72769"/>
    <w:rsid w:val="00E74132"/>
    <w:rsid w:val="00E76223"/>
    <w:rsid w:val="00E76347"/>
    <w:rsid w:val="00E8215B"/>
    <w:rsid w:val="00E85239"/>
    <w:rsid w:val="00E86CEB"/>
    <w:rsid w:val="00E87483"/>
    <w:rsid w:val="00E87904"/>
    <w:rsid w:val="00E91E11"/>
    <w:rsid w:val="00E945CE"/>
    <w:rsid w:val="00E9769C"/>
    <w:rsid w:val="00EA50DB"/>
    <w:rsid w:val="00EB3DE7"/>
    <w:rsid w:val="00EB52E4"/>
    <w:rsid w:val="00EB7B59"/>
    <w:rsid w:val="00EC5A72"/>
    <w:rsid w:val="00ED197C"/>
    <w:rsid w:val="00ED2694"/>
    <w:rsid w:val="00ED7895"/>
    <w:rsid w:val="00EE119A"/>
    <w:rsid w:val="00EE1223"/>
    <w:rsid w:val="00EE1721"/>
    <w:rsid w:val="00EE4F8A"/>
    <w:rsid w:val="00EE5FFA"/>
    <w:rsid w:val="00EF202B"/>
    <w:rsid w:val="00EF41BD"/>
    <w:rsid w:val="00F04230"/>
    <w:rsid w:val="00F0431F"/>
    <w:rsid w:val="00F0446A"/>
    <w:rsid w:val="00F07161"/>
    <w:rsid w:val="00F0788B"/>
    <w:rsid w:val="00F11EAD"/>
    <w:rsid w:val="00F235D3"/>
    <w:rsid w:val="00F31AE5"/>
    <w:rsid w:val="00F346C8"/>
    <w:rsid w:val="00F548A1"/>
    <w:rsid w:val="00F56376"/>
    <w:rsid w:val="00F642EF"/>
    <w:rsid w:val="00F65EED"/>
    <w:rsid w:val="00F73622"/>
    <w:rsid w:val="00F74E58"/>
    <w:rsid w:val="00F84345"/>
    <w:rsid w:val="00F874BE"/>
    <w:rsid w:val="00F90FC1"/>
    <w:rsid w:val="00F9194D"/>
    <w:rsid w:val="00FA2A4B"/>
    <w:rsid w:val="00FA76D5"/>
    <w:rsid w:val="00FB24D2"/>
    <w:rsid w:val="00FB4F17"/>
    <w:rsid w:val="00FC088E"/>
    <w:rsid w:val="00FC4924"/>
    <w:rsid w:val="00FC7004"/>
    <w:rsid w:val="00FD032B"/>
    <w:rsid w:val="00FD13CC"/>
    <w:rsid w:val="00FD1AA0"/>
    <w:rsid w:val="00FD267C"/>
    <w:rsid w:val="00FE39F5"/>
    <w:rsid w:val="00FE455E"/>
    <w:rsid w:val="00FE681E"/>
    <w:rsid w:val="00FF1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9AF4765-7F79-49FF-A215-C678A5DC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9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5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05"/>
    <w:rPr>
      <w:rFonts w:ascii="Tahoma" w:hAnsi="Tahoma" w:cs="Tahoma"/>
      <w:sz w:val="16"/>
      <w:szCs w:val="16"/>
    </w:rPr>
  </w:style>
  <w:style w:type="paragraph" w:styleId="NormalWeb">
    <w:name w:val="Normal (Web)"/>
    <w:basedOn w:val="Normal"/>
    <w:uiPriority w:val="99"/>
    <w:unhideWhenUsed/>
    <w:rsid w:val="00E45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4590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459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590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459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6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D7"/>
  </w:style>
  <w:style w:type="paragraph" w:styleId="Footer">
    <w:name w:val="footer"/>
    <w:basedOn w:val="Normal"/>
    <w:link w:val="FooterChar"/>
    <w:uiPriority w:val="99"/>
    <w:unhideWhenUsed/>
    <w:rsid w:val="00596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D7"/>
  </w:style>
  <w:style w:type="table" w:styleId="TableGrid">
    <w:name w:val="Table Grid"/>
    <w:basedOn w:val="TableNormal"/>
    <w:uiPriority w:val="59"/>
    <w:rsid w:val="001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9958">
      <w:bodyDiv w:val="1"/>
      <w:marLeft w:val="0"/>
      <w:marRight w:val="0"/>
      <w:marTop w:val="0"/>
      <w:marBottom w:val="0"/>
      <w:divBdr>
        <w:top w:val="none" w:sz="0" w:space="0" w:color="auto"/>
        <w:left w:val="none" w:sz="0" w:space="0" w:color="auto"/>
        <w:bottom w:val="none" w:sz="0" w:space="0" w:color="auto"/>
        <w:right w:val="none" w:sz="0" w:space="0" w:color="auto"/>
      </w:divBdr>
    </w:div>
    <w:div w:id="1730575385">
      <w:bodyDiv w:val="1"/>
      <w:marLeft w:val="0"/>
      <w:marRight w:val="0"/>
      <w:marTop w:val="0"/>
      <w:marBottom w:val="0"/>
      <w:divBdr>
        <w:top w:val="none" w:sz="0" w:space="0" w:color="auto"/>
        <w:left w:val="none" w:sz="0" w:space="0" w:color="auto"/>
        <w:bottom w:val="none" w:sz="0" w:space="0" w:color="auto"/>
        <w:right w:val="none" w:sz="0" w:space="0" w:color="auto"/>
      </w:divBdr>
    </w:div>
    <w:div w:id="2002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Manzi, Sean</dc:creator>
  <cp:lastModifiedBy>Cronin, Susannah</cp:lastModifiedBy>
  <cp:revision>2</cp:revision>
  <dcterms:created xsi:type="dcterms:W3CDTF">2018-01-11T14:27:00Z</dcterms:created>
  <dcterms:modified xsi:type="dcterms:W3CDTF">2018-01-11T14:27:00Z</dcterms:modified>
</cp:coreProperties>
</file>